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C3B" w:rsidRDefault="003E2C3B" w:rsidP="00D63DA2">
      <w:pPr>
        <w:jc w:val="both"/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</w:pPr>
    </w:p>
    <w:p w:rsidR="003A3BB1" w:rsidRPr="003E2C3B" w:rsidRDefault="003E2C3B" w:rsidP="003E2C3B">
      <w:pPr>
        <w:jc w:val="center"/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</w:pPr>
      <w:r w:rsidRPr="003E2C3B"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  <w:t>Elections européennes 2019</w:t>
      </w:r>
      <w:r w:rsidR="005317CD"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  <w:t xml:space="preserve"> </w:t>
      </w:r>
      <w:r w:rsidRPr="003E2C3B"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  <w:t xml:space="preserve">: </w:t>
      </w:r>
      <w:r w:rsidRPr="005C3C68"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  <w:t>Lettre ouverte aux candidats</w:t>
      </w:r>
    </w:p>
    <w:p w:rsidR="003E2C3B" w:rsidRDefault="003E2C3B" w:rsidP="003E2C3B">
      <w:pPr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</w:pPr>
    </w:p>
    <w:p w:rsidR="00C94124" w:rsidRPr="003E2C3B" w:rsidRDefault="00E93FAD">
      <w:pPr>
        <w:jc w:val="center"/>
        <w:rPr>
          <w:rFonts w:ascii="Corbel" w:eastAsia="Corbel" w:hAnsi="Corbel" w:cs="Corbel"/>
          <w:b/>
          <w:noProof/>
          <w:w w:val="105"/>
          <w:sz w:val="32"/>
          <w:szCs w:val="32"/>
          <w:lang w:val="en-US"/>
        </w:rPr>
      </w:pPr>
      <w:r w:rsidRPr="003E2C3B">
        <w:rPr>
          <w:rFonts w:ascii="Corbel" w:eastAsia="Corbel" w:hAnsi="Corbel" w:cs="Corbel"/>
          <w:b/>
          <w:noProof/>
          <w:w w:val="105"/>
          <w:sz w:val="32"/>
          <w:szCs w:val="32"/>
          <w:lang w:val="en-US"/>
        </w:rPr>
        <w:t>Pour</w:t>
      </w:r>
      <w:r w:rsidR="00C94124" w:rsidRPr="003E2C3B">
        <w:rPr>
          <w:rFonts w:ascii="Corbel" w:eastAsia="Corbel" w:hAnsi="Corbel" w:cs="Corbel"/>
          <w:b/>
          <w:noProof/>
          <w:w w:val="105"/>
          <w:sz w:val="32"/>
          <w:szCs w:val="32"/>
          <w:lang w:val="en-US"/>
        </w:rPr>
        <w:t xml:space="preserve"> une modification urgente des </w:t>
      </w:r>
      <w:r w:rsidR="007D50F9" w:rsidRPr="003E2C3B">
        <w:rPr>
          <w:rFonts w:ascii="Corbel" w:eastAsia="Corbel" w:hAnsi="Corbel" w:cs="Corbel"/>
          <w:b/>
          <w:noProof/>
          <w:w w:val="105"/>
          <w:sz w:val="32"/>
          <w:szCs w:val="32"/>
          <w:lang w:val="en-US"/>
        </w:rPr>
        <w:t xml:space="preserve">conditions d’exercice des </w:t>
      </w:r>
      <w:r w:rsidR="00C94124" w:rsidRPr="003E2C3B">
        <w:rPr>
          <w:rFonts w:ascii="Corbel" w:eastAsia="Corbel" w:hAnsi="Corbel" w:cs="Corbel"/>
          <w:b/>
          <w:noProof/>
          <w:w w:val="105"/>
          <w:sz w:val="32"/>
          <w:szCs w:val="32"/>
          <w:lang w:val="en-US"/>
        </w:rPr>
        <w:t>mesures conservatoires</w:t>
      </w:r>
      <w:r w:rsidR="007D50F9" w:rsidRPr="003E2C3B">
        <w:rPr>
          <w:rFonts w:ascii="Corbel" w:eastAsia="Corbel" w:hAnsi="Corbel" w:cs="Corbel"/>
          <w:b/>
          <w:noProof/>
          <w:w w:val="105"/>
          <w:sz w:val="32"/>
          <w:szCs w:val="32"/>
          <w:lang w:val="en-US"/>
        </w:rPr>
        <w:t xml:space="preserve"> par la Commission Européenne</w:t>
      </w:r>
    </w:p>
    <w:p w:rsidR="003E2C3B" w:rsidRDefault="003E2C3B" w:rsidP="003E2C3B">
      <w:pPr>
        <w:rPr>
          <w:rFonts w:ascii="Corbel" w:eastAsia="Corbel" w:hAnsi="Corbel" w:cs="Corbel"/>
          <w:b/>
          <w:noProof/>
          <w:w w:val="105"/>
          <w:sz w:val="28"/>
          <w:szCs w:val="28"/>
          <w:lang w:val="en-US"/>
        </w:rPr>
      </w:pPr>
      <w:bookmarkStart w:id="0" w:name="_GoBack"/>
      <w:bookmarkEnd w:id="0"/>
    </w:p>
    <w:p w:rsidR="00500AB1" w:rsidRPr="00500AB1" w:rsidRDefault="00500AB1" w:rsidP="00500AB1">
      <w:pPr>
        <w:jc w:val="right"/>
        <w:rPr>
          <w:rFonts w:ascii="Corbel" w:eastAsia="Corbel" w:hAnsi="Corbel" w:cs="Corbel"/>
          <w:b/>
          <w:noProof/>
          <w:w w:val="105"/>
          <w:sz w:val="20"/>
          <w:szCs w:val="20"/>
          <w:lang w:val="en-US"/>
        </w:rPr>
      </w:pPr>
      <w:r w:rsidRPr="00500AB1">
        <w:rPr>
          <w:rFonts w:ascii="Corbel" w:eastAsia="Corbel" w:hAnsi="Corbel" w:cs="Corbel"/>
          <w:b/>
          <w:noProof/>
          <w:w w:val="105"/>
          <w:sz w:val="20"/>
          <w:szCs w:val="20"/>
          <w:lang w:val="en-US"/>
        </w:rPr>
        <w:t>Paris, le 19 avril 2019</w:t>
      </w:r>
    </w:p>
    <w:p w:rsidR="003E2C3B" w:rsidRPr="00431F90" w:rsidRDefault="003E2C3B" w:rsidP="00D63DA2">
      <w:pPr>
        <w:jc w:val="both"/>
        <w:rPr>
          <w:rFonts w:ascii="Corbel" w:eastAsia="Corbel" w:hAnsi="Corbel" w:cs="Corbel"/>
          <w:noProof/>
          <w:w w:val="105"/>
          <w:sz w:val="22"/>
          <w:szCs w:val="22"/>
          <w:lang w:val="en-US"/>
        </w:rPr>
      </w:pPr>
    </w:p>
    <w:p w:rsidR="00431F90" w:rsidRPr="003E2C3B" w:rsidRDefault="007D50F9" w:rsidP="00D63DA2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Depuis que Madame Vestager s’est emparée courageusement des problématiques concurrentielles, la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Commission Européenne a imposé des amendes plus élevées que jamais aux entreprises du numérique qui </w:t>
      </w:r>
      <w:r w:rsidR="00D63DA2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abusaient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de leur position dominante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, mais après des années d’instruction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. 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Ainsi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, nous regrettons l’</w:t>
      </w:r>
      <w:r w:rsidR="00C94124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>absence de solutions efficaces et rapides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qui servirai</w:t>
      </w:r>
      <w:r w:rsidR="00D63DA2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ent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à 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limiter ces pratiques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avant qu’il ne soit trop tard. Par conséquent, nous appelons les futurs décideurs européens à 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renforcer l’arsenal juridique permettant de 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combattre les abus de position dominante des grandes entreprises du numérique, qui entravent le développement de branches entières de l’économie numérique européenne. </w:t>
      </w:r>
    </w:p>
    <w:p w:rsidR="00431F90" w:rsidRPr="003E2C3B" w:rsidRDefault="00431F90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</w:p>
    <w:p w:rsidR="00C94124" w:rsidRPr="003E2C3B" w:rsidRDefault="00D63DA2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  <w:r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>La problématique du temps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, qui impose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de raccourcir les délais des procédures en cours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,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est c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ruciale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.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Les monopoles 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abusent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d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es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procédures 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très longues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, tandis que les entreprises 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européennes innovantes</w:t>
      </w:r>
      <w:r w:rsidR="00427995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,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ainsi que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la concurrence au sein de l’Union Européenne</w:t>
      </w:r>
      <w:r w:rsidR="00427995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,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souffrent de 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telles pratiques</w:t>
      </w:r>
      <w:r w:rsidR="007D50F9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qu’elles subissent durant toute la durée de l’instruction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. Les procédures contradictoires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sont exploitées abusivement par les 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grandes entreprises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sur la durée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, les trans</w:t>
      </w:r>
      <w:r w:rsidR="00427995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f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o</w:t>
      </w:r>
      <w:r w:rsidR="00427995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r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mant en fe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u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illeton sans fin,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pendant 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lequel</w:t>
      </w:r>
      <w:r w:rsidR="00C94124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la concurrence est dévastée.</w:t>
      </w:r>
    </w:p>
    <w:p w:rsidR="00431F90" w:rsidRPr="003E2C3B" w:rsidRDefault="00431F90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</w:p>
    <w:p w:rsidR="00C94124" w:rsidRPr="003E2C3B" w:rsidRDefault="00C94124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L’utilisation de mesures conservatoires, qui permettent d</w:t>
      </w:r>
      <w:r w:rsidR="00814470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e suspendre les abus </w:t>
      </w:r>
      <w:r w:rsidR="00AE0C2C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en</w:t>
      </w:r>
      <w:r w:rsidR="00D63DA2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quelques </w:t>
      </w:r>
      <w:r w:rsidR="00814470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mois, est prévu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e</w:t>
      </w:r>
      <w:r w:rsidR="00814470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dans la législation européenne, mais la mise en oeuvre de ces mesures </w:t>
      </w:r>
      <w:r w:rsidR="00D63DA2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est impossible</w:t>
      </w:r>
      <w:r w:rsidR="00814470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. </w:t>
      </w:r>
    </w:p>
    <w:p w:rsidR="00431F90" w:rsidRPr="003E2C3B" w:rsidRDefault="00431F90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</w:p>
    <w:p w:rsidR="00814470" w:rsidRPr="003E2C3B" w:rsidRDefault="00814470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En effet, le Règlement (CE) n° 1/2003 du Conseil du 16 décembre 2002 relatif à la mise en œuvre des règles de concurrence prévues aux articles 81 et 82 du traité précise que “</w:t>
      </w:r>
      <w:r w:rsidRPr="003E2C3B">
        <w:rPr>
          <w:rFonts w:ascii="Corbel" w:eastAsia="Corbel" w:hAnsi="Corbel" w:cs="Corbel"/>
          <w:i/>
          <w:noProof/>
          <w:w w:val="105"/>
          <w:sz w:val="23"/>
          <w:szCs w:val="23"/>
          <w:lang w:val="en-US"/>
        </w:rPr>
        <w:t xml:space="preserve">Dans les cas d'urgence justifiés par le fait qu'un préjudice </w:t>
      </w:r>
      <w:r w:rsidRPr="003E2C3B">
        <w:rPr>
          <w:rFonts w:ascii="Corbel" w:eastAsia="Corbel" w:hAnsi="Corbel" w:cs="Corbel"/>
          <w:b/>
          <w:i/>
          <w:noProof/>
          <w:w w:val="105"/>
          <w:sz w:val="23"/>
          <w:szCs w:val="23"/>
          <w:lang w:val="en-US"/>
        </w:rPr>
        <w:t>grave et irréparable</w:t>
      </w:r>
      <w:r w:rsidRPr="003E2C3B">
        <w:rPr>
          <w:rFonts w:ascii="Corbel" w:eastAsia="Corbel" w:hAnsi="Corbel" w:cs="Corbel"/>
          <w:i/>
          <w:noProof/>
          <w:w w:val="105"/>
          <w:sz w:val="23"/>
          <w:szCs w:val="23"/>
          <w:lang w:val="en-US"/>
        </w:rPr>
        <w:t xml:space="preserve"> risque d'être causé à la concurrence, la Commission, agissant d'office, peut, par voie de décision et sur la base d'un constat prima facie d'infraction, ordonner des mesures provisoires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”.</w:t>
      </w:r>
    </w:p>
    <w:p w:rsidR="00185900" w:rsidRPr="003E2C3B" w:rsidRDefault="00185900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</w:p>
    <w:p w:rsidR="00814470" w:rsidRPr="003E2C3B" w:rsidRDefault="00185900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Avec cette exigence de « </w:t>
      </w:r>
      <w:r w:rsidRPr="00427995">
        <w:rPr>
          <w:rFonts w:ascii="Corbel" w:eastAsia="Corbel" w:hAnsi="Corbel" w:cs="Corbel"/>
          <w:i/>
          <w:noProof/>
          <w:w w:val="105"/>
          <w:sz w:val="23"/>
          <w:szCs w:val="23"/>
          <w:lang w:val="en-US"/>
        </w:rPr>
        <w:t xml:space="preserve">préjudice grave et </w:t>
      </w:r>
      <w:r w:rsidRPr="00427995">
        <w:rPr>
          <w:rFonts w:ascii="Corbel" w:eastAsia="Corbel" w:hAnsi="Corbel" w:cs="Corbel"/>
          <w:i/>
          <w:noProof/>
          <w:w w:val="105"/>
          <w:sz w:val="23"/>
          <w:szCs w:val="23"/>
          <w:lang w:val="en-US"/>
        </w:rPr>
        <w:t>irréparable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», les standards de mise en œuvre des mesures provisoires apparaissent trop élevés, de telle sorte que cette mesure, pourtant nécessaire, est inapplicable.  </w:t>
      </w:r>
      <w:r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 xml:space="preserve">De fait, depuis 2003, elle n’a jamais été </w:t>
      </w:r>
      <w:r w:rsidR="005D6F46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>utilisée</w:t>
      </w:r>
      <w:r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, </w:t>
      </w:r>
      <w:r w:rsidR="005D6F46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alors même</w:t>
      </w:r>
      <w:r w:rsidR="00814470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que les autorités nationales de concurrence à travers l’Union Européenne y ont fréquemment recours.</w:t>
      </w:r>
      <w:r w:rsidR="00BC1E42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 xml:space="preserve"> Il faut pouvoir les mettre en oeuvre quand le préjudice est “</w:t>
      </w:r>
      <w:r w:rsidR="00BC1E42" w:rsidRPr="00427995">
        <w:rPr>
          <w:rFonts w:ascii="Corbel" w:eastAsia="Corbel" w:hAnsi="Corbel" w:cs="Corbel"/>
          <w:b/>
          <w:i/>
          <w:noProof/>
          <w:w w:val="105"/>
          <w:sz w:val="23"/>
          <w:szCs w:val="23"/>
          <w:lang w:val="en-US"/>
        </w:rPr>
        <w:t>grave et immédiat</w:t>
      </w:r>
      <w:r w:rsidR="00BC1E42" w:rsidRPr="003E2C3B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”</w:t>
      </w:r>
      <w:r w:rsidR="00427995">
        <w:rPr>
          <w:rFonts w:ascii="Corbel" w:eastAsia="Corbel" w:hAnsi="Corbel" w:cs="Corbel"/>
          <w:noProof/>
          <w:w w:val="105"/>
          <w:sz w:val="23"/>
          <w:szCs w:val="23"/>
          <w:lang w:val="en-US"/>
        </w:rPr>
        <w:t>.</w:t>
      </w:r>
    </w:p>
    <w:p w:rsidR="00431F90" w:rsidRPr="003E2C3B" w:rsidRDefault="00431F90">
      <w:pPr>
        <w:jc w:val="both"/>
        <w:rPr>
          <w:rFonts w:ascii="Corbel" w:eastAsia="Corbel" w:hAnsi="Corbel" w:cs="Corbel"/>
          <w:noProof/>
          <w:w w:val="105"/>
          <w:sz w:val="23"/>
          <w:szCs w:val="23"/>
          <w:lang w:val="en-US"/>
        </w:rPr>
      </w:pPr>
    </w:p>
    <w:p w:rsidR="00431F90" w:rsidRPr="003E2C3B" w:rsidRDefault="00814470" w:rsidP="00D63DA2">
      <w:pPr>
        <w:jc w:val="both"/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</w:pPr>
      <w:r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 xml:space="preserve">Dans ce contexte, il est </w:t>
      </w:r>
      <w:r w:rsidR="008711F9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 xml:space="preserve">primordial que les mesures conservatoires deviennent utilisables au niveau </w:t>
      </w:r>
      <w:r w:rsidR="00B10B86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>e</w:t>
      </w:r>
      <w:r w:rsidR="008711F9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>uropéen, et que leurs conditions d</w:t>
      </w:r>
      <w:r w:rsidR="00185900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 xml:space="preserve">’application </w:t>
      </w:r>
      <w:r w:rsidR="008711F9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>concordent avec celles des autorités de concurrence nationales, qui aujourd’hui mettent en pratique ces mesures conservatoires.</w:t>
      </w:r>
    </w:p>
    <w:p w:rsidR="00E94162" w:rsidRPr="003E2C3B" w:rsidRDefault="00E94162" w:rsidP="00D63DA2">
      <w:pPr>
        <w:jc w:val="both"/>
        <w:rPr>
          <w:noProof/>
          <w:sz w:val="23"/>
          <w:szCs w:val="23"/>
          <w:lang w:val="en-AU"/>
        </w:rPr>
      </w:pPr>
      <w:r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br/>
        <w:t>Avec cette réforme</w:t>
      </w:r>
      <w:r w:rsidR="00F013B4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 xml:space="preserve">, les entreprises du numériques européennes pourront être protégées de manière effiace, la Commission européenne étant en mesure d’interrompre en quelques mois une pratique </w:t>
      </w:r>
      <w:r w:rsidR="00FA6A69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>abusive</w:t>
      </w:r>
      <w:r w:rsidR="00F013B4" w:rsidRPr="003E2C3B">
        <w:rPr>
          <w:rFonts w:ascii="Corbel" w:eastAsia="Corbel" w:hAnsi="Corbel" w:cs="Corbel"/>
          <w:b/>
          <w:noProof/>
          <w:w w:val="105"/>
          <w:sz w:val="23"/>
          <w:szCs w:val="23"/>
          <w:lang w:val="en-US"/>
        </w:rPr>
        <w:t xml:space="preserve"> avant qu’il ne soit trop tard. </w:t>
      </w:r>
    </w:p>
    <w:sectPr w:rsidR="00E94162" w:rsidRPr="003E2C3B" w:rsidSect="003E2C3B">
      <w:headerReference w:type="default" r:id="rId6"/>
      <w:pgSz w:w="11900" w:h="16840"/>
      <w:pgMar w:top="1417" w:right="1417" w:bottom="846" w:left="1417" w:header="3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F6D" w:rsidRDefault="00B67F6D" w:rsidP="003A3BB1">
      <w:r>
        <w:separator/>
      </w:r>
    </w:p>
  </w:endnote>
  <w:endnote w:type="continuationSeparator" w:id="0">
    <w:p w:rsidR="00B67F6D" w:rsidRDefault="00B67F6D" w:rsidP="003A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F6D" w:rsidRDefault="00B67F6D" w:rsidP="003A3BB1">
      <w:r>
        <w:separator/>
      </w:r>
    </w:p>
  </w:footnote>
  <w:footnote w:type="continuationSeparator" w:id="0">
    <w:p w:rsidR="00B67F6D" w:rsidRDefault="00B67F6D" w:rsidP="003A3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470" w:rsidRDefault="00814470" w:rsidP="003A3BB1">
    <w:pPr>
      <w:pStyle w:val="En-tte"/>
      <w:jc w:val="center"/>
    </w:pPr>
    <w:r>
      <w:rPr>
        <w:rFonts w:ascii="Times New Roman"/>
        <w:noProof/>
        <w:sz w:val="20"/>
        <w:lang w:eastAsia="fr-FR"/>
      </w:rPr>
      <w:drawing>
        <wp:inline distT="0" distB="0" distL="0" distR="0" wp14:anchorId="6E38ACB0" wp14:editId="0F45D9BF">
          <wp:extent cx="2600960" cy="603885"/>
          <wp:effectExtent l="0" t="0" r="2540" b="5715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3010" cy="60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8A"/>
    <w:rsid w:val="00047CE7"/>
    <w:rsid w:val="000565E2"/>
    <w:rsid w:val="00110327"/>
    <w:rsid w:val="001246F8"/>
    <w:rsid w:val="00185900"/>
    <w:rsid w:val="002D2D7A"/>
    <w:rsid w:val="002F3C46"/>
    <w:rsid w:val="00334B00"/>
    <w:rsid w:val="003A3BB1"/>
    <w:rsid w:val="003E058A"/>
    <w:rsid w:val="003E2C3B"/>
    <w:rsid w:val="00427995"/>
    <w:rsid w:val="00431F90"/>
    <w:rsid w:val="004C255F"/>
    <w:rsid w:val="00500AB1"/>
    <w:rsid w:val="005017F9"/>
    <w:rsid w:val="00510622"/>
    <w:rsid w:val="005317CD"/>
    <w:rsid w:val="005546B2"/>
    <w:rsid w:val="005C3C68"/>
    <w:rsid w:val="005D6F46"/>
    <w:rsid w:val="006608A5"/>
    <w:rsid w:val="00695F1F"/>
    <w:rsid w:val="006F1B7C"/>
    <w:rsid w:val="00764450"/>
    <w:rsid w:val="00783119"/>
    <w:rsid w:val="007A788A"/>
    <w:rsid w:val="007D50F9"/>
    <w:rsid w:val="00814470"/>
    <w:rsid w:val="00861FF1"/>
    <w:rsid w:val="008711F9"/>
    <w:rsid w:val="008F2012"/>
    <w:rsid w:val="009A46C3"/>
    <w:rsid w:val="00AE0C2C"/>
    <w:rsid w:val="00B10B86"/>
    <w:rsid w:val="00B67F6D"/>
    <w:rsid w:val="00B74FC7"/>
    <w:rsid w:val="00BC1E42"/>
    <w:rsid w:val="00BD7B1C"/>
    <w:rsid w:val="00BE73A2"/>
    <w:rsid w:val="00C32C7B"/>
    <w:rsid w:val="00C94124"/>
    <w:rsid w:val="00D55B97"/>
    <w:rsid w:val="00D63DA2"/>
    <w:rsid w:val="00E93FAD"/>
    <w:rsid w:val="00E94162"/>
    <w:rsid w:val="00EF47C8"/>
    <w:rsid w:val="00F013B4"/>
    <w:rsid w:val="00FA6A69"/>
    <w:rsid w:val="00FC12E4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AC7AE0"/>
  <w15:docId w15:val="{2DDD7483-CA3D-6547-9425-3C2C1A60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3BB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3BB1"/>
  </w:style>
  <w:style w:type="paragraph" w:styleId="Pieddepage">
    <w:name w:val="footer"/>
    <w:basedOn w:val="Normal"/>
    <w:link w:val="PieddepageCar"/>
    <w:uiPriority w:val="99"/>
    <w:unhideWhenUsed/>
    <w:rsid w:val="003A3B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3BB1"/>
  </w:style>
  <w:style w:type="paragraph" w:styleId="Textedebulles">
    <w:name w:val="Balloon Text"/>
    <w:basedOn w:val="Normal"/>
    <w:link w:val="TextedebullesCar"/>
    <w:uiPriority w:val="99"/>
    <w:semiHidden/>
    <w:unhideWhenUsed/>
    <w:rsid w:val="003A3BB1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3BB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Anaïs Strauss</dc:creator>
  <cp:keywords/>
  <dc:description/>
  <cp:lastModifiedBy>Anaïs Strauss</cp:lastModifiedBy>
  <cp:revision>17</cp:revision>
  <cp:lastPrinted>2019-04-18T15:51:00Z</cp:lastPrinted>
  <dcterms:created xsi:type="dcterms:W3CDTF">2019-04-18T13:20:00Z</dcterms:created>
  <dcterms:modified xsi:type="dcterms:W3CDTF">2019-04-18T15:59:00Z</dcterms:modified>
</cp:coreProperties>
</file>